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0" w:firstLine="360"/>
        <w:jc w:val="right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ALLEGATO 4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GARA NAZIONALE ISTITUTI PROFESSIONALI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Servizi per la Sanità e l’Assistenza Sociale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Trescore Balneario   17 – 18 Maggio 2024</w:t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44"/>
          <w:szCs w:val="4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4"/>
          <w:szCs w:val="44"/>
          <w:rtl w:val="0"/>
        </w:rPr>
        <w:t xml:space="preserve">REGOLAMENTO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 Ministero dell’Istruzione e del Merito, Dipartimento per il sistema educativo di istruzione e formazione, Direzione Generale per gli ordinamenti scolastici e la valutazione del sistema nazionale di istruzione, con nota Prot. N. 0034879 del 23/10/2023, ha indetto per l’anno scolastico 2023/2024 lo svolgimento della Gara Nazionale per gli Istituti Professionali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 Indirizzo Servizi per la Sanità e l’Assistenza Sociale (d’ora in avanti Gara Nazionale IP SSAS), affidando l’incarico dell’organizzazione all’Istituto Superiore “Lorenzo Lotto” di Trescore Balneario (BG) in quanto vincitore della precedente edizione.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ART. 1 – FINALITÀ DELLA GARA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Gara Nazionale IP SSAS è una competizione di eccellenza e rappresenta un momento di verifica delle conoscenze, delle abilità, delle competenze e dei livelli professionali raggiunti, oltre che un’occasione di scambio di esperienze tra realtà socioculturali diverse.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ART.2 – REQUISITI DI AMMISSSIONE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Gara IP SSAS è riservata agli studenti che nel corrente anno scolastico freque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nti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 il IV anno degli Istituti Professionali. Ogni Istituto potrà partecipare con un solo studente ritenuto, per il profitto scolastico e le capacità dimostrate, il più idoneo a rappresentare validamente la scuola nelle materie di indirizzo. L’Istituto organizzatore parteciperà alla competizione esclusivamente fuori concorso.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ART. 3 – ADESIONE: modalità e termini di presentazione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Per l’iscrizione gli istituti devono inviare entro il 16 marzo 2024 esclusivamente tramite PEC istituzionale all’indirizzo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bgis01400v@pec.istruzione.it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la seguente documentazione:</w:t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right="113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Scheda iscrizione (All. 1)</w:t>
      </w:r>
    </w:p>
    <w:p w:rsidR="00000000" w:rsidDel="00000000" w:rsidP="00000000" w:rsidRDefault="00000000" w:rsidRPr="00000000" w14:paraId="00000014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right="113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Scheda informativa generale (All. 2)</w:t>
      </w:r>
    </w:p>
    <w:p w:rsidR="00000000" w:rsidDel="00000000" w:rsidP="00000000" w:rsidRDefault="00000000" w:rsidRPr="00000000" w14:paraId="00000015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right="113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Liberatoria per l’autorizzazione al trattamento dei dati personali (All. 3)</w:t>
      </w:r>
    </w:p>
    <w:p w:rsidR="00000000" w:rsidDel="00000000" w:rsidP="00000000" w:rsidRDefault="00000000" w:rsidRPr="00000000" w14:paraId="00000016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right="113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Ricevuta di versamento di 300 euro, a titolo di rimborso spese organizzative,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 versare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sul conto di tesoreria unica n° 309949 (Iban IT24M0100003245130300309949) con causale “Partecipazione Gara IP SSAS - nome dell’Istituto – codice meccanografico - città”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documenti sono scaricabili dal sito dell’Istituto “Lorenzo Lotto”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https://islotto.edu.it/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nella sezione dedicata alla Gara Nazionale.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b w:val="1"/>
          <w:strike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ART. 4 – PROVE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competizione è strutturata in due prove, somministrate in due giorni consecutivi, il 17 e il 18 maggio 2024, ciascuna della durata di 5 ore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in riferimento alle tipologie B (primo giorno) e C (secondo giorno) dell’Esame di stato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Ogni prova coinvolgerà le seguenti discipline di indirizzo che caratterizzano il percorso dell’Istituto Professionale Servizi per la Sanità e l’Assistenza Sociale: Diritto, economia e tecnica amministrativa del settore socio-sanitario, Igiene e cultura medico sanitaria, Metodologie operative, Psicologia generale e applicata. I programmi dettagliati sono contenuti nell’Appendice A del presente documento.</w:t>
      </w:r>
    </w:p>
    <w:p w:rsidR="00000000" w:rsidDel="00000000" w:rsidP="00000000" w:rsidRDefault="00000000" w:rsidRPr="00000000" w14:paraId="0000001B">
      <w:pPr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prova del primo giorno consiste nell’analisi e soluzione di problematiche in un contesto operativo riguardante l’area professionale (caso professionale) relativa ad uno dei seguenti macro-temi: disagio psicologico, minore, disabilità. </w:t>
      </w:r>
    </w:p>
    <w:p w:rsidR="00000000" w:rsidDel="00000000" w:rsidP="00000000" w:rsidRDefault="00000000" w:rsidRPr="00000000" w14:paraId="0000001C">
      <w:pPr>
        <w:ind w:firstLine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prova del secondo giorno consiste nell’individuazione, predisposizione o descrizione delle fasi per la realizzazione di un servizio sempre relativo ad uno dei tre macro-temi sopra scritti, con la condizione che il tema trattato sia diverso da quello affrontato dal candidato il giorno precedente.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 entrambe le prov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e è consentito consultare il Codice Civile non commentato e il dizionario di lingua italiana.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Per i candidati di madrelingua non italiana è consentito l’uso del dizionario bilingue (italiano-lingua del paese di provenienza).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ART.  5 – SVOLGIMENTO DELLE PROVE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Ciascun candidato dovrà presentarsi munito di un documento di riconoscimento valido. Durante le prove non sarà consentito l’uso di telefoni cellulari o di altre apparecchiature connesse ad internet (smartwatch, ecc.). </w:t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color w:val="00000a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a"/>
          <w:rtl w:val="0"/>
        </w:rPr>
        <w:t xml:space="preserve">All’inizio delle prove il candidato riceverà due buste, una in A5 contenente un foglio sul quale il candidato dovrà indicare il proprio nome e l’istituto di provenienza e allegare il codice personale identificativo che verrà estratto, ed una in A4, dove il candidato inserirà al termine della prova il proprio elaborato e la busta A5 sigillata. Questa procedura si ripeterà anche il secondo giorno. </w:t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b w:val="1"/>
          <w:color w:val="00000a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rtl w:val="0"/>
        </w:rPr>
        <w:t xml:space="preserve">Su ogni foglio delle prove è fatto divieto assoluto di indicare le proprie generalità né alcun tipo di informazione e/o segno identificativo pena l’esclusione dalla gara.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 candidato sarà consentito di recarsi ai servizi dopo due ore dalla consegna del testo della prova; non potrà consegnare l’elaborato prima che siano trascorse tre ore dalla consegna.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docenti accompagnatori non potranno assistere alle prove. 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ART. 6 – COMMISSIONE GIUDICATRICE E VALUTAZIONE DELLE PROVE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Commissione di valutazione sarà composta da un Dirigente Tecnico, indicato dall’Ufficio Scolastico Regionale della Lombardia, dalla Dirigente Scolastica e da docenti delle materie professionalizzanti dell’I.S. “Lorenzo Lotto” di Trescore Balneario.</w:t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valutazione delle prove avverrà secondo la griglia riportata nell’Allegato B del presente documento. Il punteggio finale sarà espresso in quarantesimi, dato dalla somma dei punti ottenuti in ciascuna delle due prove espresse in ventesimi. Nella graduatoria finale, a parità di punteggio, precede l’allievo più giovane.</w:t>
      </w:r>
    </w:p>
    <w:p w:rsidR="00000000" w:rsidDel="00000000" w:rsidP="00000000" w:rsidRDefault="00000000" w:rsidRPr="00000000" w14:paraId="00000029">
      <w:pPr>
        <w:ind w:firstLine="708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ART. 7 – PUBBLICAZIONE ESITI</w:t>
      </w:r>
    </w:p>
    <w:p w:rsidR="00000000" w:rsidDel="00000000" w:rsidP="00000000" w:rsidRDefault="00000000" w:rsidRPr="00000000" w14:paraId="0000002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graduatoria stilata dalla Commissione verrà pubblicata quanto prima e comunque entro il 15 giugno 2024 sul sito della scuola organizzatrice nella sezione dedicata alla Gara Nazionale con l’indicazione del punteggio solo per i primi tre classificati. Le scuole i cui allievi si classificheranno nei primi tre posti verranno informate tempestivamente dell’esito.</w:t>
      </w:r>
    </w:p>
    <w:p w:rsidR="00000000" w:rsidDel="00000000" w:rsidP="00000000" w:rsidRDefault="00000000" w:rsidRPr="00000000" w14:paraId="0000002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nominativi dei primi tre studenti classificati saranno comunicati al MIM per gli attestati di merito e saranno inclusi nell'Albo Nazionale delle Eccellenze.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L'Istituto che risulterà vincitore avrà l'onere e l'onore di organizzare la Gara nell'anno scolastico successivo.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20" w:before="12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APPENDICE A</w:t>
      </w:r>
    </w:p>
    <w:p w:rsidR="00000000" w:rsidDel="00000000" w:rsidP="00000000" w:rsidRDefault="00000000" w:rsidRPr="00000000" w14:paraId="00000030">
      <w:pPr>
        <w:spacing w:after="120" w:before="12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CONTENUTI DISCIPLINARI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Diritto Economia e Tecnica Amministrativa (DETA)</w:t>
      </w:r>
    </w:p>
    <w:p w:rsidR="00000000" w:rsidDel="00000000" w:rsidP="00000000" w:rsidRDefault="00000000" w:rsidRPr="00000000" w14:paraId="0000003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 diritti della personalità e gli istituti giuridici a tutela della persona fisica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soggetti in stato di bisogno e i rimedi che l’ordinamento giuridico predispone per la loro tutela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riforma sulla filiazione 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gli istituti dell’affidamento e dell’adozione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integrazione scolastica dell’alunno disabile</w:t>
      </w:r>
    </w:p>
    <w:p w:rsidR="00000000" w:rsidDel="00000000" w:rsidP="00000000" w:rsidRDefault="00000000" w:rsidRPr="00000000" w14:paraId="00000039">
      <w:pPr>
        <w:spacing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 legislazione sociale e il rapporto di lavoro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normativa riguardante il lavoro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caratteri fondamentali della legislazione sociale del lavoro che ha per oggetto la protezione dei lavoratori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 principali tutele accordate alle donne lavoratrici, ai minori lavoratori e ai lavoratori disabili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Legge 68/99; collocamento mirato; cooperative sociali e imprese sociali</w:t>
      </w:r>
    </w:p>
    <w:p w:rsidR="00000000" w:rsidDel="00000000" w:rsidP="00000000" w:rsidRDefault="00000000" w:rsidRPr="00000000" w14:paraId="0000003F">
      <w:pPr>
        <w:spacing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Il sistema della sicurezza sociale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 caratteristiche del sistema di sicurezza sociale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 finalità della previdenza e dell’assistenza sociale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l’accertamento dell’invalidità civile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Legge 104/92: indennità economiche, benefici fiscali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diverse tipologie di prestazioni previdenziali (pensione di invalidità, vecchiaia, anticipata, ai superstiti)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 prestazioni previdenziali contro gli infortuni e le malattie professionali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il volontariato e il ruolo degli enti del Terzo settore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reti formali e reti informali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il funzionamento del Servizio Sanitario Nazionale e la sua organizzazione 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il funzionamento del sistema pensionistico</w:t>
      </w:r>
    </w:p>
    <w:p w:rsidR="00000000" w:rsidDel="00000000" w:rsidP="00000000" w:rsidRDefault="00000000" w:rsidRPr="00000000" w14:paraId="0000004B">
      <w:pPr>
        <w:spacing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La tutela della salute e l’assistenza sanitaria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valori e i caratteri del diritto alla salute – art. 32 Costituzione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caratteri del servizio sanitario nazionale- La Legge 833/78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l’organizzazione, la programmazione ed il finanziamento del Servizio Sanitario Nazionale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carta dei servizi sanitari </w:t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livelli essenziali di assistenza (LEA)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 concetto di sistema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integrato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degli interventi e servizi sociali ex L. 328/2000  in materia di assistenza a: minori, disabili, invalidi</w:t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servizi in favore di soggetti disabili e con disturbi mentali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Per lo sviluppo della tematica trattare i seguenti punti: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indicazione della normativa di riferimento a tutela del soggetto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procedure di accesso ai servizi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normativa di riferimento per usufruire di contributi economici, sgravi fiscali, ecc..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Igiene e Cultura Medico-Sanitaria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Disabilità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Sclerosi Multipla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Distrofia Muscolare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Deficit Cognitivo dello Sviluppo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Trisomie e Monosomie (ed Sindrome di DOWN, Turner, Klinefelter, Ecc)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PCI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Epilessia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Spina Bifida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Autismo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Disagio Psichico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Depressione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Schizofrenia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Ansia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Disturbo Bipolare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Nevrosi 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Psicosi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Diabete Mellito tipo I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Patologie Esantematiche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Autismo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Allergie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Patologie Genetiche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fenilchetonuria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numPr>
          <w:ilvl w:val="1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galattosemia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1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09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Indagini diagnostiche post-natali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Modalità di sviluppo per ogni argomento: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epidemiologia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eziologia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segni e sintomi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conseguenze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prevenzione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primaria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1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secondaria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1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terziaria</w:t>
      </w:r>
    </w:p>
    <w:p w:rsidR="00000000" w:rsidDel="00000000" w:rsidP="00000000" w:rsidRDefault="00000000" w:rsidRPr="00000000" w14:paraId="00000082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line="276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76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Metodologie Operative</w:t>
      </w:r>
    </w:p>
    <w:p w:rsidR="00000000" w:rsidDel="00000000" w:rsidP="00000000" w:rsidRDefault="00000000" w:rsidRPr="00000000" w14:paraId="00000086">
      <w:pPr>
        <w:spacing w:line="276" w:lineRule="auto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Minore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 è il minore;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sviluppo senso motorio;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L’asilo nido: la programmazione, l’inserimento e la routine;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gioco nell’infanzia;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Adozione, affido ed altre forme di adozione;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servizi e gli interventi rivolti ai minori;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disagio adolescenziale, scolastico e relazionale;</w:t>
      </w:r>
    </w:p>
    <w:p w:rsidR="00000000" w:rsidDel="00000000" w:rsidP="00000000" w:rsidRDefault="00000000" w:rsidRPr="00000000" w14:paraId="0000008E">
      <w:pP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Disturbo Psichico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disturbo mentale;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riforma Basaglia e la legge 180/78;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diversi manifestazioni del disturbo mentale;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disturbi mentali: l’inserimento lavorativo, le REMS e la legge 81 del 2014;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Servizi e interventi rivolti alla salute mentale;</w:t>
      </w:r>
    </w:p>
    <w:p w:rsidR="00000000" w:rsidDel="00000000" w:rsidP="00000000" w:rsidRDefault="00000000" w:rsidRPr="00000000" w14:paraId="00000095">
      <w:pP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Disabilità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 è il disabile; disabilità e accettazione;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ruolo della famiglia e l’accertamento della disabilità;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Alcune tipologie di disabilità;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Integrazione scolastica, inserimento lavorativo e qualità della vita delle persone disabili;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Interventi a sostegno della disabilità;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Interventi e servizi rivolti ai disabili;</w:t>
      </w:r>
    </w:p>
    <w:p w:rsidR="00000000" w:rsidDel="00000000" w:rsidP="00000000" w:rsidRDefault="00000000" w:rsidRPr="00000000" w14:paraId="0000009D">
      <w:pPr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Modalità di sviluppo per ogni argomento</w:t>
      </w:r>
    </w:p>
    <w:p w:rsidR="00000000" w:rsidDel="00000000" w:rsidP="00000000" w:rsidRDefault="00000000" w:rsidRPr="00000000" w14:paraId="000000A1">
      <w:pPr>
        <w:numPr>
          <w:ilvl w:val="0"/>
          <w:numId w:val="25"/>
        </w:numPr>
        <w:spacing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Definizione degli obiettivi </w:t>
      </w:r>
    </w:p>
    <w:p w:rsidR="00000000" w:rsidDel="00000000" w:rsidP="00000000" w:rsidRDefault="00000000" w:rsidRPr="00000000" w14:paraId="000000A2">
      <w:pPr>
        <w:numPr>
          <w:ilvl w:val="0"/>
          <w:numId w:val="25"/>
        </w:numPr>
        <w:spacing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Definizione di un servizio/intervento, finalità, destinatari, ente gestore</w:t>
      </w:r>
    </w:p>
    <w:p w:rsidR="00000000" w:rsidDel="00000000" w:rsidP="00000000" w:rsidRDefault="00000000" w:rsidRPr="00000000" w14:paraId="000000A3">
      <w:pPr>
        <w:numPr>
          <w:ilvl w:val="0"/>
          <w:numId w:val="25"/>
        </w:numPr>
        <w:spacing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Predisposizione e descrizione delle fasi di realizzazione di un servizio/progetto</w:t>
      </w:r>
    </w:p>
    <w:p w:rsidR="00000000" w:rsidDel="00000000" w:rsidP="00000000" w:rsidRDefault="00000000" w:rsidRPr="00000000" w14:paraId="000000A4">
      <w:pPr>
        <w:numPr>
          <w:ilvl w:val="0"/>
          <w:numId w:val="25"/>
        </w:numPr>
        <w:spacing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Descrizione giornata tipo</w:t>
      </w:r>
    </w:p>
    <w:p w:rsidR="00000000" w:rsidDel="00000000" w:rsidP="00000000" w:rsidRDefault="00000000" w:rsidRPr="00000000" w14:paraId="000000A5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Psicologia Generale e Applicata</w:t>
      </w:r>
    </w:p>
    <w:p w:rsidR="00000000" w:rsidDel="00000000" w:rsidP="00000000" w:rsidRDefault="00000000" w:rsidRPr="00000000" w14:paraId="000000A9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Disagio Minorile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principali teorie dello sviluppo: Erikson e Piaget</w:t>
      </w:r>
    </w:p>
    <w:p w:rsidR="00000000" w:rsidDel="00000000" w:rsidP="00000000" w:rsidRDefault="00000000" w:rsidRPr="00000000" w14:paraId="000000AC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8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Le teorie dell’attaccamento</w:t>
      </w:r>
    </w:p>
    <w:p w:rsidR="00000000" w:rsidDel="00000000" w:rsidP="00000000" w:rsidRDefault="00000000" w:rsidRPr="00000000" w14:paraId="000000AD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8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 maltrattamento minorile e le sue diverse forme:</w:t>
      </w:r>
    </w:p>
    <w:p w:rsidR="00000000" w:rsidDel="00000000" w:rsidP="00000000" w:rsidRDefault="00000000" w:rsidRPr="00000000" w14:paraId="000000AE">
      <w:pPr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8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Incuria, ipercuria, discuria, </w:t>
      </w:r>
    </w:p>
    <w:p w:rsidR="00000000" w:rsidDel="00000000" w:rsidP="00000000" w:rsidRDefault="00000000" w:rsidRPr="00000000" w14:paraId="000000AF">
      <w:pPr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8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maltrattamento fisico psicologico, </w:t>
      </w:r>
    </w:p>
    <w:p w:rsidR="00000000" w:rsidDel="00000000" w:rsidP="00000000" w:rsidRDefault="00000000" w:rsidRPr="00000000" w14:paraId="000000B0">
      <w:pPr>
        <w:numPr>
          <w:ilvl w:val="1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80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abuso sessuale</w:t>
      </w:r>
    </w:p>
    <w:p w:rsidR="00000000" w:rsidDel="00000000" w:rsidP="00000000" w:rsidRDefault="00000000" w:rsidRPr="00000000" w14:paraId="000000B1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8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Le caratteristiche della famiglia multiproblematica</w:t>
      </w:r>
    </w:p>
    <w:p w:rsidR="00000000" w:rsidDel="00000000" w:rsidP="00000000" w:rsidRDefault="00000000" w:rsidRPr="00000000" w14:paraId="000000B2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8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famiglia povera</w:t>
      </w:r>
    </w:p>
    <w:p w:rsidR="00000000" w:rsidDel="00000000" w:rsidP="00000000" w:rsidRDefault="00000000" w:rsidRPr="00000000" w14:paraId="000000B3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Le conseguenze del maltrattamento minorile a livello psicologico e sociale</w:t>
      </w:r>
    </w:p>
    <w:p w:rsidR="00000000" w:rsidDel="00000000" w:rsidP="00000000" w:rsidRDefault="00000000" w:rsidRPr="00000000" w14:paraId="000000B4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violenza assistita</w:t>
      </w:r>
    </w:p>
    <w:p w:rsidR="00000000" w:rsidDel="00000000" w:rsidP="00000000" w:rsidRDefault="00000000" w:rsidRPr="00000000" w14:paraId="000000B5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Separazioni conflittuali</w:t>
      </w:r>
    </w:p>
    <w:p w:rsidR="00000000" w:rsidDel="00000000" w:rsidP="00000000" w:rsidRDefault="00000000" w:rsidRPr="00000000" w14:paraId="000000B6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L’alienazione parentale</w:t>
      </w:r>
    </w:p>
    <w:p w:rsidR="00000000" w:rsidDel="00000000" w:rsidP="00000000" w:rsidRDefault="00000000" w:rsidRPr="00000000" w14:paraId="000000B7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 concetto di crisi adolescenziale</w:t>
      </w:r>
    </w:p>
    <w:p w:rsidR="00000000" w:rsidDel="00000000" w:rsidP="00000000" w:rsidRDefault="00000000" w:rsidRPr="00000000" w14:paraId="000000B8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Le condotte devianti degli adolescenti: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numPr>
          <w:ilvl w:val="1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993" w:right="0" w:hanging="283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baby gang e bullismo Cyberbullismo</w:t>
      </w:r>
    </w:p>
    <w:p w:rsidR="00000000" w:rsidDel="00000000" w:rsidP="00000000" w:rsidRDefault="00000000" w:rsidRPr="00000000" w14:paraId="000000BA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terapia basata sul gioco</w:t>
      </w:r>
    </w:p>
    <w:p w:rsidR="00000000" w:rsidDel="00000000" w:rsidP="00000000" w:rsidRDefault="00000000" w:rsidRPr="00000000" w14:paraId="000000BB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terapia basata sul disegno</w:t>
      </w:r>
    </w:p>
    <w:p w:rsidR="00000000" w:rsidDel="00000000" w:rsidP="00000000" w:rsidRDefault="00000000" w:rsidRPr="00000000" w14:paraId="000000BC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prevenzione familiare e la mediazione familiare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Disagio Psichico</w:t>
      </w:r>
    </w:p>
    <w:p w:rsidR="00000000" w:rsidDel="00000000" w:rsidP="00000000" w:rsidRDefault="00000000" w:rsidRPr="00000000" w14:paraId="000000BF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criteri della normalità e della patologia</w:t>
      </w:r>
    </w:p>
    <w:p w:rsidR="00000000" w:rsidDel="00000000" w:rsidP="00000000" w:rsidRDefault="00000000" w:rsidRPr="00000000" w14:paraId="000000C0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8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fattori biologici, psicologici e socio-culturali che determinano la malattia mentale</w:t>
      </w:r>
    </w:p>
    <w:p w:rsidR="00000000" w:rsidDel="00000000" w:rsidP="00000000" w:rsidRDefault="00000000" w:rsidRPr="00000000" w14:paraId="000000C1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differenza tra nevrosi e psicosi</w:t>
      </w:r>
    </w:p>
    <w:p w:rsidR="00000000" w:rsidDel="00000000" w:rsidP="00000000" w:rsidRDefault="00000000" w:rsidRPr="00000000" w14:paraId="000000C2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 disturbo d’ansia generalizzata, l’attacco di panico e il disturbo fobico</w:t>
      </w:r>
    </w:p>
    <w:p w:rsidR="00000000" w:rsidDel="00000000" w:rsidP="00000000" w:rsidRDefault="00000000" w:rsidRPr="00000000" w14:paraId="000000C3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 disturbo ossessivo-compulsivo</w:t>
      </w:r>
    </w:p>
    <w:p w:rsidR="00000000" w:rsidDel="00000000" w:rsidP="00000000" w:rsidRDefault="00000000" w:rsidRPr="00000000" w14:paraId="000000C4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depressione maggiore</w:t>
      </w:r>
    </w:p>
    <w:p w:rsidR="00000000" w:rsidDel="00000000" w:rsidP="00000000" w:rsidRDefault="00000000" w:rsidRPr="00000000" w14:paraId="000000C5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schizofrenia</w:t>
      </w:r>
    </w:p>
    <w:p w:rsidR="00000000" w:rsidDel="00000000" w:rsidP="00000000" w:rsidRDefault="00000000" w:rsidRPr="00000000" w14:paraId="000000C6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L’autismo</w:t>
      </w:r>
    </w:p>
    <w:p w:rsidR="00000000" w:rsidDel="00000000" w:rsidP="00000000" w:rsidRDefault="00000000" w:rsidRPr="00000000" w14:paraId="000000C7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disturbi della nutrizione e dell’alimentazione</w:t>
      </w:r>
    </w:p>
    <w:p w:rsidR="00000000" w:rsidDel="00000000" w:rsidP="00000000" w:rsidRDefault="00000000" w:rsidRPr="00000000" w14:paraId="000000C8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 disturbo da deficit di attenzione e iperattività</w:t>
      </w:r>
    </w:p>
    <w:p w:rsidR="00000000" w:rsidDel="00000000" w:rsidP="00000000" w:rsidRDefault="00000000" w:rsidRPr="00000000" w14:paraId="000000C9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Gli elementi fondamentali della psicoterapia e le sue finalità</w:t>
      </w:r>
    </w:p>
    <w:p w:rsidR="00000000" w:rsidDel="00000000" w:rsidP="00000000" w:rsidRDefault="00000000" w:rsidRPr="00000000" w14:paraId="000000CA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Gli aspetti peculiari e le tecniche principali della psicoanalisi, della terapia cognitivo comportamentale, delle psicoterapie umanistiche e della terapia sistemico-relazionale</w:t>
      </w:r>
    </w:p>
    <w:p w:rsidR="00000000" w:rsidDel="00000000" w:rsidP="00000000" w:rsidRDefault="00000000" w:rsidRPr="00000000" w14:paraId="000000CB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Finalità dell’arteterapia e della pet therapy, e loro campi di applicazione</w:t>
      </w:r>
    </w:p>
    <w:p w:rsidR="00000000" w:rsidDel="00000000" w:rsidP="00000000" w:rsidRDefault="00000000" w:rsidRPr="00000000" w14:paraId="000000CC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108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considerazione del malato mentale nella storia i manicomi e il movimento dell’antipsichiatria </w:t>
      </w:r>
    </w:p>
    <w:p w:rsidR="00000000" w:rsidDel="00000000" w:rsidP="00000000" w:rsidRDefault="00000000" w:rsidRPr="00000000" w14:paraId="000000CD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09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Le strutture e i servizi che si fanno carico della cura, dell’assistenza e della tutela dei soggetti con disagio psichico</w:t>
      </w:r>
    </w:p>
    <w:p w:rsidR="00000000" w:rsidDel="00000000" w:rsidP="00000000" w:rsidRDefault="00000000" w:rsidRPr="00000000" w14:paraId="000000CE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Disabilità</w:t>
      </w:r>
    </w:p>
    <w:p w:rsidR="00000000" w:rsidDel="00000000" w:rsidP="00000000" w:rsidRDefault="00000000" w:rsidRPr="00000000" w14:paraId="000000D0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concetti di “abilità”, “menomazione”, “disabilità” e “handicap”</w:t>
      </w:r>
    </w:p>
    <w:p w:rsidR="00000000" w:rsidDel="00000000" w:rsidP="00000000" w:rsidRDefault="00000000" w:rsidRPr="00000000" w14:paraId="000000D1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differenza tra inserimento, integrazione e inclusione</w:t>
      </w:r>
    </w:p>
    <w:p w:rsidR="00000000" w:rsidDel="00000000" w:rsidP="00000000" w:rsidRDefault="00000000" w:rsidRPr="00000000" w14:paraId="000000D2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Le cause della disabilità e le diverse tipologie di danno</w:t>
      </w:r>
    </w:p>
    <w:p w:rsidR="00000000" w:rsidDel="00000000" w:rsidP="00000000" w:rsidRDefault="00000000" w:rsidRPr="00000000" w14:paraId="000000D3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sintomatologia delle disabilità intellettive</w:t>
      </w:r>
    </w:p>
    <w:p w:rsidR="00000000" w:rsidDel="00000000" w:rsidP="00000000" w:rsidRDefault="00000000" w:rsidRPr="00000000" w14:paraId="000000D4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sindrome di Down</w:t>
      </w:r>
    </w:p>
    <w:p w:rsidR="00000000" w:rsidDel="00000000" w:rsidP="00000000" w:rsidRDefault="00000000" w:rsidRPr="00000000" w14:paraId="000000D5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disabilità visiva e uditiva</w:t>
      </w:r>
    </w:p>
    <w:p w:rsidR="00000000" w:rsidDel="00000000" w:rsidP="00000000" w:rsidRDefault="00000000" w:rsidRPr="00000000" w14:paraId="000000D6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La paralisi cerebrale infantile la disabilità motoria nell’adulto</w:t>
      </w:r>
    </w:p>
    <w:p w:rsidR="00000000" w:rsidDel="00000000" w:rsidP="00000000" w:rsidRDefault="00000000" w:rsidRPr="00000000" w14:paraId="000000D7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Le disabilità intellettive e gli ambiti compromessi</w:t>
      </w:r>
    </w:p>
    <w:p w:rsidR="00000000" w:rsidDel="00000000" w:rsidP="00000000" w:rsidRDefault="00000000" w:rsidRPr="00000000" w14:paraId="000000D8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comportamenti problema, le reazioni che suscitano, i possibili interventi</w:t>
      </w:r>
    </w:p>
    <w:p w:rsidR="00000000" w:rsidDel="00000000" w:rsidP="00000000" w:rsidRDefault="00000000" w:rsidRPr="00000000" w14:paraId="000000D9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sintomi dell’ADHD, i criteri diagnostici e il decorso</w:t>
      </w:r>
    </w:p>
    <w:p w:rsidR="00000000" w:rsidDel="00000000" w:rsidP="00000000" w:rsidRDefault="00000000" w:rsidRPr="00000000" w14:paraId="000000DA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Il trattamento individuale e famigliare nell’ADHD</w:t>
      </w:r>
    </w:p>
    <w:p w:rsidR="00000000" w:rsidDel="00000000" w:rsidP="00000000" w:rsidRDefault="00000000" w:rsidRPr="00000000" w14:paraId="000000DB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I principali interventi sociali e servizi a favore dei soggetti diversamente abili</w:t>
      </w:r>
    </w:p>
    <w:p w:rsidR="00000000" w:rsidDel="00000000" w:rsidP="00000000" w:rsidRDefault="00000000" w:rsidRPr="00000000" w14:paraId="000000DC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L’integrazione sociale dei diversamente abili</w:t>
      </w:r>
    </w:p>
    <w:p w:rsidR="00000000" w:rsidDel="00000000" w:rsidP="00000000" w:rsidRDefault="00000000" w:rsidRPr="00000000" w14:paraId="000000DD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L’integrazione nella scuola e nel lavoro</w:t>
      </w:r>
    </w:p>
    <w:p w:rsidR="00000000" w:rsidDel="00000000" w:rsidP="00000000" w:rsidRDefault="00000000" w:rsidRPr="00000000" w14:paraId="000000DE">
      <w:pPr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Un piano di intervento individualizzato per soggetti diversamente abili</w:t>
      </w:r>
    </w:p>
    <w:p w:rsidR="00000000" w:rsidDel="00000000" w:rsidP="00000000" w:rsidRDefault="00000000" w:rsidRPr="00000000" w14:paraId="000000DF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Modalità di sviluppo per ogni argomento:</w:t>
      </w:r>
    </w:p>
    <w:p w:rsidR="00000000" w:rsidDel="00000000" w:rsidP="00000000" w:rsidRDefault="00000000" w:rsidRPr="00000000" w14:paraId="000000E2">
      <w:pPr>
        <w:numPr>
          <w:ilvl w:val="0"/>
          <w:numId w:val="1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terapie </w:t>
      </w:r>
    </w:p>
    <w:p w:rsidR="00000000" w:rsidDel="00000000" w:rsidP="00000000" w:rsidRDefault="00000000" w:rsidRPr="00000000" w14:paraId="000000E3">
      <w:pPr>
        <w:numPr>
          <w:ilvl w:val="1"/>
          <w:numId w:val="13"/>
        </w:numPr>
        <w:spacing w:line="276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definizione del problematica/patologia (vedi anche igiene)</w:t>
      </w:r>
    </w:p>
    <w:p w:rsidR="00000000" w:rsidDel="00000000" w:rsidP="00000000" w:rsidRDefault="00000000" w:rsidRPr="00000000" w14:paraId="000000E4">
      <w:pPr>
        <w:numPr>
          <w:ilvl w:val="1"/>
          <w:numId w:val="13"/>
        </w:numPr>
        <w:spacing w:line="276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definizione delle terapie</w:t>
      </w:r>
    </w:p>
    <w:p w:rsidR="00000000" w:rsidDel="00000000" w:rsidP="00000000" w:rsidRDefault="00000000" w:rsidRPr="00000000" w14:paraId="000000E5">
      <w:pPr>
        <w:numPr>
          <w:ilvl w:val="0"/>
          <w:numId w:val="1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chi la svolge (figura professionale)</w:t>
      </w:r>
    </w:p>
    <w:p w:rsidR="00000000" w:rsidDel="00000000" w:rsidP="00000000" w:rsidRDefault="00000000" w:rsidRPr="00000000" w14:paraId="000000E6">
      <w:pPr>
        <w:numPr>
          <w:ilvl w:val="0"/>
          <w:numId w:val="1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come viene svolta (attività e metodi)</w:t>
      </w:r>
    </w:p>
    <w:p w:rsidR="00000000" w:rsidDel="00000000" w:rsidP="00000000" w:rsidRDefault="00000000" w:rsidRPr="00000000" w14:paraId="000000E7">
      <w:pPr>
        <w:numPr>
          <w:ilvl w:val="0"/>
          <w:numId w:val="13"/>
        </w:numPr>
        <w:spacing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tempi (ogni quanto, per quanto tempo)</w:t>
      </w:r>
    </w:p>
    <w:p w:rsidR="00000000" w:rsidDel="00000000" w:rsidP="00000000" w:rsidRDefault="00000000" w:rsidRPr="00000000" w14:paraId="000000E8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120" w:before="12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2"/>
          <w:szCs w:val="32"/>
          <w:rtl w:val="0"/>
        </w:rPr>
        <w:t xml:space="preserve">APPENDICE B</w:t>
      </w:r>
    </w:p>
    <w:p w:rsidR="00000000" w:rsidDel="00000000" w:rsidP="00000000" w:rsidRDefault="00000000" w:rsidRPr="00000000" w14:paraId="000000EB">
      <w:pPr>
        <w:spacing w:after="120" w:before="120" w:lineRule="auto"/>
        <w:jc w:val="center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GRIGLIA DI VALUTAZIONE</w:t>
      </w:r>
    </w:p>
    <w:p w:rsidR="00000000" w:rsidDel="00000000" w:rsidP="00000000" w:rsidRDefault="00000000" w:rsidRPr="00000000" w14:paraId="000000EC">
      <w:pPr>
        <w:spacing w:after="120" w:before="12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16"/>
        <w:gridCol w:w="5124"/>
        <w:gridCol w:w="957"/>
        <w:gridCol w:w="1321"/>
        <w:tblGridChange w:id="0">
          <w:tblGrid>
            <w:gridCol w:w="2516"/>
            <w:gridCol w:w="5124"/>
            <w:gridCol w:w="957"/>
            <w:gridCol w:w="1321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INDICATORI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DESCRITTORI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Valutazione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Padronanza delle conoscenze relative ai nuclei tematici fondamentali di riferimento della prova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Conoscenze complete e interdisciplinari, dimostra di conoscere i nuclei fondanti delle materie d’indirizzo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Conoscenze complete, dimostra di conoscere i nuclei fondanti delle discipline d’indirizzo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Conoscenze abbastanza complete riguardo la maggior parte dei nuclei fondanti delle materie d’indirizzo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Conoscenze superficiali. Conosce i nuclei fondanti in maniera non del tutto completa commettendo alcuni errori marginali e/o imprecisioni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3.5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Conoscenze parziali. Conosce una parte dei nuclei fondanti delle materie d’indirizzo commettendo qualche errore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Conoscenze insufficienti. Commette mancanze ed errori rilevanti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Non ha conoscenze dei nuclei fondanti delle discipline d’indirizzo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jc w:val="both"/>
              <w:rPr/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Ricorso agli aspetti delle competenze professionali specifiche utili a conseguire le finalità dell’elaborato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jc w:val="both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Completa, analitica e coerente (es. individuazione patologia, descrizione patologia, approccio bio-psico-sociale, collegamenti con altre discipline, riferimenti legislativi, progettazione/interventi, terapie, figure professionali, presa in carico dei familiari)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Completa e analitica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Parzialmente completa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Parziale e/o superficiale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Insufficiente e non sempre coerente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Per l’interdisciplinarità è previsto un bonus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 0,5 e/o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Completezza nello svolgimento della traccia, coerenza/correttezza nell’elaborazione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Completa coerente e corretta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A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Parzialmente completa e/o non sempre corretta e/o non sempre coerente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Incompleta, incoerente e spesso scorretta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Utilizzo del patrimonio lessicale ed espressivo della lingua italiana secondo le esigenze comunicative del contesto professionale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jc w:val="both"/>
              <w:rPr/>
            </w:pPr>
            <w:r w:rsidDel="00000000" w:rsidR="00000000" w:rsidRPr="00000000">
              <w:rPr>
                <w:color w:val="000000"/>
                <w:sz w:val="21"/>
                <w:szCs w:val="21"/>
                <w:rtl w:val="0"/>
              </w:rPr>
              <w:t xml:space="preserve">Utilizza il patrimonio lessicale ed espressivo in modo preciso e corretto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jc w:val="both"/>
              <w:rPr/>
            </w:pPr>
            <w:r w:rsidDel="00000000" w:rsidR="00000000" w:rsidRPr="00000000">
              <w:rPr>
                <w:color w:val="000000"/>
                <w:sz w:val="21"/>
                <w:szCs w:val="21"/>
                <w:rtl w:val="0"/>
              </w:rPr>
              <w:t xml:space="preserve">Utilizzo adeguato del patrimonio lessicale ed espressivo anche riguardo il contesto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jc w:val="both"/>
              <w:rPr/>
            </w:pPr>
            <w:r w:rsidDel="00000000" w:rsidR="00000000" w:rsidRPr="00000000">
              <w:rPr>
                <w:color w:val="000000"/>
                <w:sz w:val="21"/>
                <w:szCs w:val="21"/>
                <w:rtl w:val="0"/>
              </w:rPr>
              <w:t xml:space="preserve">Utilizzo adeguato del patrimonio lessicale ed espressivo ma con alcune difficoltà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jc w:val="both"/>
              <w:rPr/>
            </w:pPr>
            <w:r w:rsidDel="00000000" w:rsidR="00000000" w:rsidRPr="00000000">
              <w:rPr>
                <w:color w:val="000000"/>
                <w:sz w:val="21"/>
                <w:szCs w:val="21"/>
                <w:rtl w:val="0"/>
              </w:rPr>
              <w:t xml:space="preserve">Utilizzo del patrimonio lessicale ed espressivo ma con difficoltà che ne rendono difficile la comprensione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jc w:val="righ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PUNTEGGIO TOTALE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____/20</w:t>
            </w:r>
          </w:p>
        </w:tc>
      </w:tr>
    </w:tbl>
    <w:p w:rsidR="00000000" w:rsidDel="00000000" w:rsidP="00000000" w:rsidRDefault="00000000" w:rsidRPr="00000000" w14:paraId="00000145">
      <w:pPr>
        <w:spacing w:after="120" w:before="12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after="120" w:before="12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38" w:w="11906" w:orient="portrait"/>
      <w:pgMar w:bottom="720" w:top="426" w:left="1276" w:right="1133" w:header="284" w:footer="51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3">
    <w:pPr>
      <w:pBdr>
        <w:top w:color="808080" w:space="9" w:sz="8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b w:val="1"/>
        <w:color w:val="333333"/>
        <w:sz w:val="16"/>
        <w:szCs w:val="16"/>
        <w:rtl w:val="0"/>
      </w:rPr>
      <w:t xml:space="preserve">Istituto Professionale:</w:t>
    </w:r>
    <w:r w:rsidDel="00000000" w:rsidR="00000000" w:rsidRPr="00000000">
      <w:rPr>
        <w:color w:val="000000"/>
        <w:sz w:val="16"/>
        <w:szCs w:val="16"/>
        <w:rtl w:val="0"/>
      </w:rPr>
      <w:t xml:space="preserve"> </w:t>
    </w:r>
    <w:r w:rsidDel="00000000" w:rsidR="00000000" w:rsidRPr="00000000">
      <w:rPr>
        <w:b w:val="1"/>
        <w:color w:val="808080"/>
        <w:sz w:val="16"/>
        <w:szCs w:val="16"/>
        <w:rtl w:val="0"/>
      </w:rPr>
      <w:t xml:space="preserve">Servizi Commerciali - Serv. Comm. Curvatura Design – Servizi per la sanità e l’assistenza sociale</w:t>
    </w:r>
    <w:r w:rsidDel="00000000" w:rsidR="00000000" w:rsidRPr="00000000">
      <w:rPr>
        <w:color w:val="808080"/>
        <w:sz w:val="16"/>
        <w:szCs w:val="16"/>
        <w:rtl w:val="0"/>
      </w:rPr>
      <w:br w:type="textWrapping"/>
    </w:r>
    <w:r w:rsidDel="00000000" w:rsidR="00000000" w:rsidRPr="00000000">
      <w:rPr>
        <w:b w:val="1"/>
        <w:color w:val="333333"/>
        <w:sz w:val="16"/>
        <w:szCs w:val="16"/>
        <w:rtl w:val="0"/>
      </w:rPr>
      <w:t xml:space="preserve">Istituto Tecnico</w:t>
    </w:r>
    <w:r w:rsidDel="00000000" w:rsidR="00000000" w:rsidRPr="00000000">
      <w:rPr>
        <w:color w:val="000000"/>
        <w:sz w:val="16"/>
        <w:szCs w:val="16"/>
        <w:rtl w:val="0"/>
      </w:rPr>
      <w:t xml:space="preserve"> </w:t>
    </w:r>
    <w:r w:rsidDel="00000000" w:rsidR="00000000" w:rsidRPr="00000000">
      <w:rPr>
        <w:b w:val="1"/>
        <w:color w:val="333333"/>
        <w:sz w:val="16"/>
        <w:szCs w:val="16"/>
        <w:rtl w:val="0"/>
      </w:rPr>
      <w:t xml:space="preserve">Economico:</w:t>
    </w:r>
    <w:r w:rsidDel="00000000" w:rsidR="00000000" w:rsidRPr="00000000">
      <w:rPr>
        <w:b w:val="1"/>
        <w:color w:val="808080"/>
        <w:sz w:val="16"/>
        <w:szCs w:val="16"/>
        <w:rtl w:val="0"/>
      </w:rPr>
      <w:t xml:space="preserve"> AFM, SIA e RIM  </w:t>
    </w:r>
    <w:r w:rsidDel="00000000" w:rsidR="00000000" w:rsidRPr="00000000">
      <w:rPr>
        <w:b w:val="1"/>
        <w:color w:val="333333"/>
        <w:sz w:val="16"/>
        <w:szCs w:val="16"/>
        <w:rtl w:val="0"/>
      </w:rPr>
      <w:t xml:space="preserve">Istituto Tecnico</w:t>
    </w:r>
    <w:r w:rsidDel="00000000" w:rsidR="00000000" w:rsidRPr="00000000">
      <w:rPr>
        <w:b w:val="1"/>
        <w:color w:val="808080"/>
        <w:sz w:val="16"/>
        <w:szCs w:val="16"/>
        <w:rtl w:val="0"/>
      </w:rPr>
      <w:t xml:space="preserve"> </w:t>
    </w:r>
    <w:r w:rsidDel="00000000" w:rsidR="00000000" w:rsidRPr="00000000">
      <w:rPr>
        <w:b w:val="1"/>
        <w:color w:val="333333"/>
        <w:sz w:val="16"/>
        <w:szCs w:val="16"/>
        <w:rtl w:val="0"/>
      </w:rPr>
      <w:t xml:space="preserve">Tecnologico</w:t>
    </w:r>
    <w:r w:rsidDel="00000000" w:rsidR="00000000" w:rsidRPr="00000000">
      <w:rPr>
        <w:b w:val="1"/>
        <w:color w:val="808080"/>
        <w:sz w:val="16"/>
        <w:szCs w:val="16"/>
        <w:rtl w:val="0"/>
      </w:rPr>
      <w:t xml:space="preserve"> (Costruzioni, Ambiente e Territorio)</w:t>
    </w:r>
    <w:r w:rsidDel="00000000" w:rsidR="00000000" w:rsidRPr="00000000">
      <w:rPr>
        <w:color w:val="808080"/>
        <w:sz w:val="16"/>
        <w:szCs w:val="16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b w:val="1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B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Ministero dell’Istruzione e del Merito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8892</wp:posOffset>
          </wp:positionH>
          <wp:positionV relativeFrom="paragraph">
            <wp:posOffset>34290</wp:posOffset>
          </wp:positionV>
          <wp:extent cx="809625" cy="78105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9625" cy="78105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5200015</wp:posOffset>
          </wp:positionH>
          <wp:positionV relativeFrom="paragraph">
            <wp:posOffset>34290</wp:posOffset>
          </wp:positionV>
          <wp:extent cx="971550" cy="723900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1550" cy="723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4C">
    <w:pPr>
      <w:spacing w:after="120" w:lineRule="auto"/>
      <w:jc w:val="center"/>
      <w:rPr>
        <w:b w:val="1"/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Istituto Superiore “Lorenzo LOTTO”</w:t>
    </w:r>
  </w:p>
  <w:p w:rsidR="00000000" w:rsidDel="00000000" w:rsidP="00000000" w:rsidRDefault="00000000" w:rsidRPr="00000000" w14:paraId="0000014D">
    <w:pPr>
      <w:jc w:val="center"/>
      <w:rPr>
        <w:color w:val="404040"/>
        <w:sz w:val="16"/>
        <w:szCs w:val="16"/>
      </w:rPr>
    </w:pPr>
    <w:r w:rsidDel="00000000" w:rsidR="00000000" w:rsidRPr="00000000">
      <w:rPr>
        <w:color w:val="404040"/>
        <w:sz w:val="16"/>
        <w:szCs w:val="16"/>
        <w:rtl w:val="0"/>
      </w:rPr>
      <w:t xml:space="preserve">Via dell’Albarotto, 23    –    24069  Trescore Balneario (BG)        </w:t>
    </w:r>
    <w:r w:rsidDel="00000000" w:rsidR="00000000" w:rsidRPr="00000000">
      <w:rPr>
        <w:b w:val="1"/>
        <w:color w:val="404040"/>
        <w:sz w:val="16"/>
        <w:szCs w:val="16"/>
        <w:rtl w:val="0"/>
      </w:rPr>
      <w:t xml:space="preserve">Codice Fiscale</w:t>
    </w:r>
    <w:r w:rsidDel="00000000" w:rsidR="00000000" w:rsidRPr="00000000">
      <w:rPr>
        <w:color w:val="404040"/>
        <w:sz w:val="16"/>
        <w:szCs w:val="16"/>
        <w:rtl w:val="0"/>
      </w:rPr>
      <w:t xml:space="preserve">: 95021050166</w:t>
    </w:r>
  </w:p>
  <w:p w:rsidR="00000000" w:rsidDel="00000000" w:rsidP="00000000" w:rsidRDefault="00000000" w:rsidRPr="00000000" w14:paraId="0000014E">
    <w:pPr>
      <w:ind w:left="880" w:hanging="880"/>
      <w:jc w:val="center"/>
      <w:rPr>
        <w:color w:val="404040"/>
        <w:sz w:val="16"/>
        <w:szCs w:val="16"/>
      </w:rPr>
    </w:pPr>
    <w:r w:rsidDel="00000000" w:rsidR="00000000" w:rsidRPr="00000000">
      <w:rPr>
        <w:b w:val="1"/>
        <w:color w:val="404040"/>
        <w:sz w:val="16"/>
        <w:szCs w:val="16"/>
        <w:rtl w:val="0"/>
      </w:rPr>
      <w:t xml:space="preserve">Telefono</w:t>
    </w:r>
    <w:r w:rsidDel="00000000" w:rsidR="00000000" w:rsidRPr="00000000">
      <w:rPr>
        <w:color w:val="404040"/>
        <w:sz w:val="16"/>
        <w:szCs w:val="16"/>
        <w:rtl w:val="0"/>
      </w:rPr>
      <w:t xml:space="preserve">: 035.944.782 - 035.944.680      </w:t>
    </w:r>
    <w:r w:rsidDel="00000000" w:rsidR="00000000" w:rsidRPr="00000000">
      <w:rPr>
        <w:sz w:val="16"/>
        <w:szCs w:val="16"/>
        <w:rtl w:val="0"/>
      </w:rPr>
      <w:t xml:space="preserve">       </w:t>
    </w:r>
    <w:r w:rsidDel="00000000" w:rsidR="00000000" w:rsidRPr="00000000">
      <w:rPr>
        <w:b w:val="1"/>
        <w:color w:val="404040"/>
        <w:sz w:val="16"/>
        <w:szCs w:val="16"/>
        <w:rtl w:val="0"/>
      </w:rPr>
      <w:t xml:space="preserve">Sito web</w:t>
    </w:r>
    <w:r w:rsidDel="00000000" w:rsidR="00000000" w:rsidRPr="00000000">
      <w:rPr>
        <w:color w:val="404040"/>
        <w:sz w:val="16"/>
        <w:szCs w:val="16"/>
        <w:rtl w:val="0"/>
      </w:rPr>
      <w:t xml:space="preserve">: islotto.edu.it</w:t>
    </w:r>
  </w:p>
  <w:p w:rsidR="00000000" w:rsidDel="00000000" w:rsidP="00000000" w:rsidRDefault="00000000" w:rsidRPr="00000000" w14:paraId="0000014F">
    <w:pPr>
      <w:pBdr>
        <w:bottom w:color="000000" w:space="1" w:sz="4" w:val="single"/>
      </w:pBdr>
      <w:jc w:val="center"/>
      <w:rPr>
        <w:color w:val="404040"/>
        <w:sz w:val="16"/>
        <w:szCs w:val="16"/>
      </w:rPr>
    </w:pPr>
    <w:r w:rsidDel="00000000" w:rsidR="00000000" w:rsidRPr="00000000">
      <w:rPr>
        <w:b w:val="1"/>
        <w:color w:val="404040"/>
        <w:sz w:val="16"/>
        <w:szCs w:val="16"/>
        <w:rtl w:val="0"/>
      </w:rPr>
      <w:t xml:space="preserve">e-mail</w:t>
    </w:r>
    <w:r w:rsidDel="00000000" w:rsidR="00000000" w:rsidRPr="00000000">
      <w:rPr>
        <w:color w:val="404040"/>
        <w:sz w:val="16"/>
        <w:szCs w:val="16"/>
        <w:rtl w:val="0"/>
      </w:rPr>
      <w:t xml:space="preserve">: </w:t>
    </w:r>
    <w:hyperlink r:id="rId3">
      <w:r w:rsidDel="00000000" w:rsidR="00000000" w:rsidRPr="00000000">
        <w:rPr>
          <w:color w:val="0000ff"/>
          <w:sz w:val="16"/>
          <w:szCs w:val="16"/>
          <w:u w:val="single"/>
          <w:rtl w:val="0"/>
        </w:rPr>
        <w:t xml:space="preserve">bgis01400v@istruzione.it</w:t>
      </w:r>
    </w:hyperlink>
    <w:r w:rsidDel="00000000" w:rsidR="00000000" w:rsidRPr="00000000">
      <w:rPr>
        <w:sz w:val="16"/>
        <w:szCs w:val="16"/>
        <w:rtl w:val="0"/>
      </w:rPr>
      <w:t xml:space="preserve">        </w:t>
    </w:r>
    <w:r w:rsidDel="00000000" w:rsidR="00000000" w:rsidRPr="00000000">
      <w:rPr>
        <w:b w:val="1"/>
        <w:color w:val="404040"/>
        <w:sz w:val="16"/>
        <w:szCs w:val="16"/>
        <w:rtl w:val="0"/>
      </w:rPr>
      <w:t xml:space="preserve">posta certificata</w:t>
    </w:r>
    <w:r w:rsidDel="00000000" w:rsidR="00000000" w:rsidRPr="00000000">
      <w:rPr>
        <w:color w:val="404040"/>
        <w:sz w:val="16"/>
        <w:szCs w:val="16"/>
        <w:rtl w:val="0"/>
      </w:rPr>
      <w:t xml:space="preserve">: </w:t>
    </w:r>
    <w:hyperlink r:id="rId4">
      <w:r w:rsidDel="00000000" w:rsidR="00000000" w:rsidRPr="00000000">
        <w:rPr>
          <w:color w:val="0000ff"/>
          <w:sz w:val="16"/>
          <w:szCs w:val="16"/>
          <w:u w:val="single"/>
          <w:rtl w:val="0"/>
        </w:rPr>
        <w:t xml:space="preserve">bgis01400v@pec.istruzione.it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0">
    <w:pPr>
      <w:pBdr>
        <w:bottom w:color="000000" w:space="1" w:sz="4" w:val="single"/>
      </w:pBdr>
      <w:jc w:val="center"/>
      <w:rPr>
        <w:b w:val="1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rPr>
        <w:color w:val="000000"/>
        <w:sz w:val="10"/>
        <w:szCs w:val="1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080" w:hanging="360"/>
      </w:pPr>
      <w:rPr/>
    </w:lvl>
    <w:lvl w:ilvl="2">
      <w:start w:val="1"/>
      <w:numFmt w:val="decimal"/>
      <w:lvlText w:val="%3."/>
      <w:lvlJc w:val="left"/>
      <w:pPr>
        <w:ind w:left="1800" w:hanging="36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decimal"/>
      <w:lvlText w:val="%5."/>
      <w:lvlJc w:val="left"/>
      <w:pPr>
        <w:ind w:left="3240" w:hanging="360"/>
      </w:pPr>
      <w:rPr/>
    </w:lvl>
    <w:lvl w:ilvl="5">
      <w:start w:val="1"/>
      <w:numFmt w:val="decimal"/>
      <w:lvlText w:val="%6."/>
      <w:lvlJc w:val="left"/>
      <w:pPr>
        <w:ind w:left="3960" w:hanging="36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decimal"/>
      <w:lvlText w:val="%8."/>
      <w:lvlJc w:val="left"/>
      <w:pPr>
        <w:ind w:left="5400" w:hanging="360"/>
      </w:pPr>
      <w:rPr/>
    </w:lvl>
    <w:lvl w:ilvl="8">
      <w:start w:val="1"/>
      <w:numFmt w:val="decimal"/>
      <w:lvlText w:val="%9."/>
      <w:lvlJc w:val="left"/>
      <w:pPr>
        <w:ind w:left="6120" w:hanging="360"/>
      </w:pPr>
      <w:rPr/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●"/>
      <w:lvlJc w:val="left"/>
      <w:pPr>
        <w:ind w:left="1212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ο"/>
      <w:lvlJc w:val="left"/>
      <w:pPr>
        <w:ind w:left="1932" w:hanging="360"/>
      </w:pPr>
      <w:rPr>
        <w:rFonts w:ascii="Noto Sans Symbols" w:cs="Noto Sans Symbols" w:eastAsia="Noto Sans Symbols" w:hAnsi="Noto Sans Symbols"/>
        <w:sz w:val="16"/>
        <w:szCs w:val="16"/>
      </w:rPr>
    </w:lvl>
    <w:lvl w:ilvl="2">
      <w:start w:val="1"/>
      <w:numFmt w:val="bullet"/>
      <w:lvlText w:val="▪"/>
      <w:lvlJc w:val="left"/>
      <w:pPr>
        <w:ind w:left="265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7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1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3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72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0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16"/>
        <w:szCs w:val="16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i w:val="1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243f6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rFonts w:ascii="Times New Roman" w:cs="Times New Roman" w:eastAsia="Times New Roman" w:hAnsi="Times New Roman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bgis01400v@pec.istruzione.it" TargetMode="External"/><Relationship Id="rId8" Type="http://schemas.openxmlformats.org/officeDocument/2006/relationships/hyperlink" Target="https://islotto.edu.i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hyperlink" Target="mailto:bgis01400v@istruzione.it" TargetMode="External"/><Relationship Id="rId4" Type="http://schemas.openxmlformats.org/officeDocument/2006/relationships/hyperlink" Target="mailto:bgis01400v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iJ4Rz6es4a7zW5b4q0QGeQVZ2A==">CgMxLjAyCGguZ2pkZ3hzMgloLjMwajB6bGwyCWguMWZvYjl0ZTIJaC4zem55c2g3OAByITFTRnA1emhEblRjWmNOUWNRclJBYjBDU3NISF9XRFdIZQ==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